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FB" w:rsidRDefault="009A7AFB" w:rsidP="009A7AFB">
      <w:pPr>
        <w:pStyle w:val="Style3"/>
        <w:widowControl/>
        <w:spacing w:line="239" w:lineRule="exact"/>
        <w:ind w:left="337"/>
        <w:rPr>
          <w:rStyle w:val="FontStyle11"/>
        </w:rPr>
      </w:pPr>
      <w:r>
        <w:rPr>
          <w:rStyle w:val="FontStyle11"/>
        </w:rPr>
        <w:t>Ogrodzenie parkingów.</w:t>
      </w:r>
    </w:p>
    <w:p w:rsidR="009A7AFB" w:rsidRDefault="009A7AFB" w:rsidP="009A7AFB">
      <w:pPr>
        <w:pStyle w:val="Style1"/>
        <w:widowControl/>
        <w:spacing w:before="3"/>
        <w:jc w:val="both"/>
        <w:rPr>
          <w:rStyle w:val="FontStyle12"/>
        </w:rPr>
      </w:pPr>
      <w:r>
        <w:rPr>
          <w:rStyle w:val="FontStyle12"/>
        </w:rPr>
        <w:t xml:space="preserve">Przeznaczeniem ogrodzenia jest umożliwienie zabezpieczenie miejsc parkingowych w terenie. Rozwiązania materiałowe elementów nośnych. </w:t>
      </w:r>
      <w:proofErr w:type="gramStart"/>
      <w:r>
        <w:rPr>
          <w:rStyle w:val="FontStyle12"/>
        </w:rPr>
        <w:t>Projekt  ogrodzenia</w:t>
      </w:r>
      <w:proofErr w:type="gramEnd"/>
      <w:r>
        <w:rPr>
          <w:rStyle w:val="FontStyle12"/>
        </w:rPr>
        <w:t xml:space="preserve"> jeden segment powtarzalny ogrodzenia.</w:t>
      </w:r>
    </w:p>
    <w:p w:rsidR="009A7AFB" w:rsidRDefault="009A7AFB" w:rsidP="009A7AFB">
      <w:pPr>
        <w:pStyle w:val="Style4"/>
        <w:widowControl/>
        <w:numPr>
          <w:ilvl w:val="0"/>
          <w:numId w:val="2"/>
        </w:numPr>
        <w:tabs>
          <w:tab w:val="left" w:pos="147"/>
        </w:tabs>
        <w:spacing w:line="239" w:lineRule="exact"/>
        <w:ind w:right="35"/>
        <w:rPr>
          <w:rStyle w:val="FontStyle12"/>
        </w:rPr>
      </w:pPr>
      <w:r>
        <w:rPr>
          <w:rStyle w:val="FontStyle12"/>
        </w:rPr>
        <w:t>Fundamenty w zależności od lokalizacji obiektu w przypadku podłoża sypkiego - wylewane betonowe z betonu B 20 na podkładzie z chudego betonu B</w:t>
      </w:r>
      <w:proofErr w:type="gramStart"/>
      <w:r>
        <w:rPr>
          <w:rStyle w:val="FontStyle12"/>
        </w:rPr>
        <w:t xml:space="preserve"> 7,5, zabezpieczoną</w:t>
      </w:r>
      <w:proofErr w:type="gramEnd"/>
      <w:r>
        <w:rPr>
          <w:rStyle w:val="FontStyle12"/>
        </w:rPr>
        <w:t xml:space="preserve"> izolacją wodochronną .</w:t>
      </w:r>
    </w:p>
    <w:p w:rsidR="009A7AFB" w:rsidRDefault="009A7AFB" w:rsidP="009A7AFB">
      <w:pPr>
        <w:pStyle w:val="Style1"/>
        <w:widowControl/>
        <w:jc w:val="both"/>
        <w:rPr>
          <w:rStyle w:val="FontStyle12"/>
        </w:rPr>
      </w:pPr>
      <w:r>
        <w:rPr>
          <w:rStyle w:val="FontStyle12"/>
        </w:rPr>
        <w:t>Pomiędzy fundamentami wykonać podmurówkę z głazów kamiennych.</w:t>
      </w:r>
    </w:p>
    <w:p w:rsidR="009A7AFB" w:rsidRDefault="009A7AFB" w:rsidP="009A7AFB">
      <w:pPr>
        <w:pStyle w:val="Style4"/>
        <w:widowControl/>
        <w:numPr>
          <w:ilvl w:val="0"/>
          <w:numId w:val="2"/>
        </w:numPr>
        <w:tabs>
          <w:tab w:val="left" w:pos="147"/>
        </w:tabs>
        <w:spacing w:line="239" w:lineRule="exact"/>
        <w:rPr>
          <w:rStyle w:val="FontStyle12"/>
        </w:rPr>
      </w:pPr>
      <w:r>
        <w:rPr>
          <w:rStyle w:val="FontStyle12"/>
        </w:rPr>
        <w:t>Konstrukcja ogrodzenia z drewna klejonego.</w:t>
      </w:r>
    </w:p>
    <w:p w:rsidR="009A7AFB" w:rsidRDefault="009A7AFB" w:rsidP="009A7AFB">
      <w:pPr>
        <w:widowControl/>
        <w:jc w:val="both"/>
        <w:rPr>
          <w:sz w:val="2"/>
          <w:szCs w:val="2"/>
        </w:rPr>
      </w:pPr>
    </w:p>
    <w:p w:rsidR="009A7AFB" w:rsidRDefault="009A7AFB" w:rsidP="009A7AFB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9" w:line="239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klasa</w:t>
      </w:r>
      <w:proofErr w:type="gramEnd"/>
      <w:r>
        <w:rPr>
          <w:rStyle w:val="FontStyle12"/>
        </w:rPr>
        <w:t xml:space="preserve"> drewna GL 24,</w:t>
      </w:r>
    </w:p>
    <w:p w:rsidR="009A7AFB" w:rsidRDefault="009A7AFB" w:rsidP="009A7AFB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6" w:line="239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klej</w:t>
      </w:r>
      <w:proofErr w:type="gramEnd"/>
      <w:r>
        <w:rPr>
          <w:rStyle w:val="FontStyle12"/>
        </w:rPr>
        <w:t xml:space="preserve"> rezorcynowy lub inny wodoodporny do drewna,</w:t>
      </w:r>
    </w:p>
    <w:p w:rsidR="009A7AFB" w:rsidRDefault="009A7AFB" w:rsidP="009A7AFB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12" w:line="245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modrzewiowe,</w:t>
      </w:r>
    </w:p>
    <w:p w:rsidR="009A7AFB" w:rsidRDefault="009A7AFB" w:rsidP="009A7AFB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9" w:line="245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zaimpregnowane preparatem bezbarwnym bez pigmentu,</w:t>
      </w:r>
    </w:p>
    <w:p w:rsidR="009A7AFB" w:rsidRDefault="009A7AFB" w:rsidP="009A7AFB">
      <w:pPr>
        <w:pStyle w:val="Style4"/>
        <w:widowControl/>
        <w:numPr>
          <w:ilvl w:val="0"/>
          <w:numId w:val="1"/>
        </w:numPr>
        <w:tabs>
          <w:tab w:val="left" w:pos="685"/>
        </w:tabs>
        <w:spacing w:before="6" w:line="245" w:lineRule="exact"/>
        <w:ind w:left="343"/>
        <w:rPr>
          <w:rStyle w:val="FontStyle12"/>
        </w:rPr>
      </w:pPr>
      <w:proofErr w:type="gramStart"/>
      <w:r>
        <w:rPr>
          <w:rStyle w:val="FontStyle12"/>
        </w:rPr>
        <w:t>należy</w:t>
      </w:r>
      <w:proofErr w:type="gramEnd"/>
      <w:r>
        <w:rPr>
          <w:rStyle w:val="FontStyle12"/>
        </w:rPr>
        <w:t xml:space="preserve"> stosować przekładki na styku z innymi materiałami (folia budowlana lub guma)</w:t>
      </w:r>
    </w:p>
    <w:p w:rsidR="00B74884" w:rsidRDefault="009A7AFB" w:rsidP="009A7AFB">
      <w:r>
        <w:rPr>
          <w:rStyle w:val="FontStyle12"/>
        </w:rPr>
        <w:t>- Łączenie elementów drewnianych typowymi złączami ciesielskimi do drewna zapewniającymi trwałe utrzymanie odpowiedniego kąta.</w:t>
      </w:r>
    </w:p>
    <w:sectPr w:rsidR="00B74884" w:rsidSect="00B74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4A43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42"/>
        <w:lvlJc w:val="left"/>
        <w:rPr>
          <w:rFonts w:ascii="Microsoft Sans Serif" w:hAnsi="Microsoft Sans Serif" w:cs="Microsoft Sans Serif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7"/>
        <w:lvlJc w:val="left"/>
        <w:rPr>
          <w:rFonts w:ascii="Microsoft Sans Serif" w:hAnsi="Microsoft Sans Serif" w:cs="Microsoft Sans Serif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A7AFB"/>
    <w:rsid w:val="009A7AFB"/>
    <w:rsid w:val="00B7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AFB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9A7AFB"/>
    <w:pPr>
      <w:spacing w:line="239" w:lineRule="exact"/>
    </w:pPr>
  </w:style>
  <w:style w:type="paragraph" w:customStyle="1" w:styleId="Style3">
    <w:name w:val="Style3"/>
    <w:basedOn w:val="Normalny"/>
    <w:uiPriority w:val="99"/>
    <w:rsid w:val="009A7AFB"/>
    <w:pPr>
      <w:spacing w:line="236" w:lineRule="exact"/>
    </w:pPr>
  </w:style>
  <w:style w:type="paragraph" w:customStyle="1" w:styleId="Style4">
    <w:name w:val="Style4"/>
    <w:basedOn w:val="Normalny"/>
    <w:uiPriority w:val="99"/>
    <w:rsid w:val="009A7AFB"/>
    <w:pPr>
      <w:spacing w:line="238" w:lineRule="exact"/>
      <w:jc w:val="both"/>
    </w:pPr>
  </w:style>
  <w:style w:type="character" w:customStyle="1" w:styleId="FontStyle11">
    <w:name w:val="Font Style11"/>
    <w:uiPriority w:val="99"/>
    <w:rsid w:val="009A7AFB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12">
    <w:name w:val="Font Style12"/>
    <w:uiPriority w:val="99"/>
    <w:rsid w:val="009A7AFB"/>
    <w:rPr>
      <w:rFonts w:ascii="Microsoft Sans Serif" w:hAnsi="Microsoft Sans Serif" w:cs="Microsoft Sans Seri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1</cp:revision>
  <dcterms:created xsi:type="dcterms:W3CDTF">2018-07-04T08:09:00Z</dcterms:created>
  <dcterms:modified xsi:type="dcterms:W3CDTF">2018-07-04T08:10:00Z</dcterms:modified>
</cp:coreProperties>
</file>